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8985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204FFB" w:rsidTr="0095780A">
        <w:trPr>
          <w:trHeight w:val="2887"/>
        </w:trPr>
        <w:tc>
          <w:tcPr>
            <w:tcW w:w="8985" w:type="dxa"/>
          </w:tcPr>
          <w:p w:rsidR="00204FFB" w:rsidRPr="00F2411C" w:rsidRDefault="00204FFB" w:rsidP="00204FFB">
            <w:pPr>
              <w:jc w:val="both"/>
              <w:rPr>
                <w:b/>
                <w:bCs/>
              </w:rPr>
            </w:pPr>
          </w:p>
          <w:p w:rsidR="00594D49" w:rsidRDefault="00594D49" w:rsidP="00594D49">
            <w:pPr>
              <w:jc w:val="both"/>
              <w:rPr>
                <w:b/>
                <w:bCs/>
              </w:rPr>
            </w:pPr>
            <w:r w:rsidRPr="00F2411C">
              <w:rPr>
                <w:b/>
                <w:bCs/>
              </w:rPr>
              <w:t>Job Title:</w:t>
            </w:r>
            <w:r w:rsidRPr="00F2411C">
              <w:rPr>
                <w:b/>
                <w:bCs/>
              </w:rPr>
              <w:tab/>
            </w:r>
            <w:r w:rsidRPr="00F2411C">
              <w:rPr>
                <w:b/>
                <w:bCs/>
              </w:rPr>
              <w:tab/>
            </w:r>
            <w:r w:rsidR="0095780A" w:rsidRPr="0095780A">
              <w:rPr>
                <w:b/>
                <w:bCs/>
              </w:rPr>
              <w:t>Mental Health Advisor</w:t>
            </w:r>
            <w:r w:rsidRPr="00F2411C">
              <w:rPr>
                <w:b/>
                <w:bCs/>
              </w:rPr>
              <w:tab/>
            </w:r>
          </w:p>
          <w:p w:rsidR="007A5583" w:rsidRPr="00F2411C" w:rsidRDefault="007A5583" w:rsidP="00594D49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594D49" w:rsidRPr="00F2411C" w:rsidRDefault="00594D49" w:rsidP="00594D49">
            <w:pPr>
              <w:ind w:left="2160" w:hanging="2160"/>
              <w:jc w:val="both"/>
              <w:rPr>
                <w:b/>
                <w:bCs/>
              </w:rPr>
            </w:pPr>
            <w:r w:rsidRPr="00F2411C">
              <w:rPr>
                <w:b/>
                <w:bCs/>
              </w:rPr>
              <w:t>Section:</w:t>
            </w:r>
            <w:r w:rsidRPr="00F2411C">
              <w:rPr>
                <w:b/>
                <w:bCs/>
              </w:rPr>
              <w:tab/>
            </w:r>
            <w:r w:rsidR="0095780A">
              <w:rPr>
                <w:b/>
                <w:bCs/>
              </w:rPr>
              <w:t>Greenwich Mental Health Hub</w:t>
            </w:r>
          </w:p>
          <w:p w:rsidR="00594D49" w:rsidRPr="00F2411C" w:rsidRDefault="00594D49" w:rsidP="00594D49">
            <w:pPr>
              <w:jc w:val="both"/>
              <w:rPr>
                <w:b/>
                <w:bCs/>
              </w:rPr>
            </w:pPr>
            <w:r w:rsidRPr="00F2411C">
              <w:rPr>
                <w:b/>
                <w:bCs/>
              </w:rPr>
              <w:tab/>
            </w:r>
          </w:p>
          <w:p w:rsidR="00594D49" w:rsidRDefault="00594D49" w:rsidP="00594D49">
            <w:pPr>
              <w:jc w:val="both"/>
              <w:rPr>
                <w:b/>
                <w:bCs/>
              </w:rPr>
            </w:pPr>
            <w:r w:rsidRPr="00F2411C">
              <w:rPr>
                <w:b/>
                <w:bCs/>
              </w:rPr>
              <w:t>Location:</w:t>
            </w:r>
            <w:r w:rsidRPr="00F2411C">
              <w:rPr>
                <w:b/>
                <w:bCs/>
              </w:rPr>
              <w:tab/>
            </w:r>
            <w:r w:rsidR="0095780A">
              <w:rPr>
                <w:b/>
                <w:bCs/>
              </w:rPr>
              <w:tab/>
            </w:r>
            <w:r w:rsidR="0095780A" w:rsidRPr="0095780A">
              <w:rPr>
                <w:b/>
                <w:bCs/>
              </w:rPr>
              <w:t xml:space="preserve">Royal Borough of Greenwich   </w:t>
            </w:r>
          </w:p>
          <w:p w:rsidR="0095780A" w:rsidRPr="00F2411C" w:rsidRDefault="0095780A" w:rsidP="00594D49">
            <w:pPr>
              <w:jc w:val="both"/>
              <w:rPr>
                <w:b/>
                <w:bCs/>
              </w:rPr>
            </w:pPr>
          </w:p>
          <w:p w:rsidR="00594D49" w:rsidRPr="00F2411C" w:rsidRDefault="00594D49" w:rsidP="00F2411C">
            <w:pPr>
              <w:rPr>
                <w:b/>
              </w:rPr>
            </w:pPr>
            <w:r w:rsidRPr="00F2411C">
              <w:rPr>
                <w:b/>
                <w:bCs/>
              </w:rPr>
              <w:t>Hours:</w:t>
            </w:r>
            <w:r w:rsidRPr="00F2411C">
              <w:rPr>
                <w:b/>
                <w:bCs/>
              </w:rPr>
              <w:tab/>
            </w:r>
            <w:r w:rsidRPr="00F2411C">
              <w:rPr>
                <w:b/>
                <w:bCs/>
              </w:rPr>
              <w:tab/>
            </w:r>
            <w:r w:rsidR="0095780A">
              <w:rPr>
                <w:b/>
              </w:rPr>
              <w:t xml:space="preserve">37.5 </w:t>
            </w:r>
            <w:r w:rsidR="00F2411C" w:rsidRPr="00F2411C">
              <w:rPr>
                <w:b/>
              </w:rPr>
              <w:t>per week</w:t>
            </w:r>
          </w:p>
          <w:p w:rsidR="00594D49" w:rsidRPr="00F2411C" w:rsidRDefault="00594D49" w:rsidP="00594D49">
            <w:pPr>
              <w:rPr>
                <w:b/>
              </w:rPr>
            </w:pPr>
          </w:p>
          <w:p w:rsidR="00594D49" w:rsidRPr="00F2411C" w:rsidRDefault="00594D49" w:rsidP="00594D49">
            <w:pPr>
              <w:rPr>
                <w:b/>
              </w:rPr>
            </w:pPr>
            <w:r w:rsidRPr="00F2411C">
              <w:rPr>
                <w:b/>
                <w:bCs/>
              </w:rPr>
              <w:t>Responsible to:</w:t>
            </w:r>
            <w:r w:rsidR="00B31F38" w:rsidRPr="00F2411C">
              <w:rPr>
                <w:b/>
              </w:rPr>
              <w:tab/>
            </w:r>
            <w:r w:rsidR="0095780A" w:rsidRPr="0095780A">
              <w:rPr>
                <w:b/>
              </w:rPr>
              <w:t>Senior Mental Health Advisor</w:t>
            </w:r>
          </w:p>
          <w:p w:rsidR="00204FFB" w:rsidRDefault="00204FFB" w:rsidP="00204FFB">
            <w:pPr>
              <w:jc w:val="center"/>
              <w:rPr>
                <w:b/>
                <w:bCs/>
              </w:rPr>
            </w:pPr>
          </w:p>
        </w:tc>
      </w:tr>
      <w:tr w:rsidR="0095780A" w:rsidTr="0095780A">
        <w:trPr>
          <w:trHeight w:val="293"/>
        </w:trPr>
        <w:tc>
          <w:tcPr>
            <w:tcW w:w="8985" w:type="dxa"/>
          </w:tcPr>
          <w:p w:rsidR="0095780A" w:rsidRPr="00F2411C" w:rsidRDefault="0095780A" w:rsidP="00204FFB">
            <w:pPr>
              <w:jc w:val="both"/>
              <w:rPr>
                <w:b/>
                <w:bCs/>
              </w:rPr>
            </w:pPr>
          </w:p>
        </w:tc>
      </w:tr>
    </w:tbl>
    <w:p w:rsidR="00204FFB" w:rsidRDefault="00204FFB" w:rsidP="00204FFB">
      <w:pPr>
        <w:jc w:val="both"/>
        <w:rPr>
          <w:b/>
          <w:bCs/>
        </w:rPr>
      </w:pPr>
    </w:p>
    <w:p w:rsidR="00204FFB" w:rsidRDefault="00204FFB" w:rsidP="00204FFB">
      <w:pPr>
        <w:jc w:val="both"/>
        <w:rPr>
          <w:b/>
          <w:bCs/>
        </w:rPr>
      </w:pPr>
    </w:p>
    <w:p w:rsidR="00B31F38" w:rsidRPr="00420EB0" w:rsidRDefault="00B31F38" w:rsidP="00204FFB">
      <w:pPr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4FFB" w:rsidRPr="00682551" w:rsidTr="00420379">
        <w:tc>
          <w:tcPr>
            <w:tcW w:w="10456" w:type="dxa"/>
          </w:tcPr>
          <w:p w:rsidR="00204FFB" w:rsidRDefault="00204FFB" w:rsidP="00204FFB">
            <w:pPr>
              <w:rPr>
                <w:b/>
                <w:bCs/>
              </w:rPr>
            </w:pPr>
            <w:r w:rsidRPr="00682551">
              <w:rPr>
                <w:b/>
                <w:bCs/>
              </w:rPr>
              <w:t>Job Summary:</w:t>
            </w:r>
          </w:p>
          <w:p w:rsidR="00F2411C" w:rsidRDefault="00F2411C" w:rsidP="00204FFB">
            <w:pPr>
              <w:rPr>
                <w:b/>
                <w:bCs/>
              </w:rPr>
            </w:pPr>
          </w:p>
          <w:p w:rsidR="0095780A" w:rsidRPr="0095780A" w:rsidRDefault="0095780A" w:rsidP="0095780A">
            <w:pPr>
              <w:rPr>
                <w:bCs/>
                <w:lang w:val="en-US"/>
              </w:rPr>
            </w:pPr>
            <w:r w:rsidRPr="0095780A">
              <w:rPr>
                <w:bCs/>
                <w:lang w:val="en-US"/>
              </w:rPr>
              <w:t xml:space="preserve">To work as part of an integrated team with BLG Mind, Bridge Support and </w:t>
            </w:r>
            <w:proofErr w:type="spellStart"/>
            <w:r w:rsidRPr="0095780A">
              <w:rPr>
                <w:bCs/>
                <w:lang w:val="en-US"/>
              </w:rPr>
              <w:t>Oxleas</w:t>
            </w:r>
            <w:proofErr w:type="spellEnd"/>
            <w:r w:rsidRPr="0095780A">
              <w:rPr>
                <w:bCs/>
                <w:lang w:val="en-US"/>
              </w:rPr>
              <w:t xml:space="preserve"> NHS Foundation Trust (</w:t>
            </w:r>
            <w:proofErr w:type="spellStart"/>
            <w:r w:rsidRPr="0095780A">
              <w:rPr>
                <w:bCs/>
                <w:lang w:val="en-US"/>
              </w:rPr>
              <w:t>Oxleas</w:t>
            </w:r>
            <w:proofErr w:type="spellEnd"/>
            <w:r w:rsidRPr="0095780A">
              <w:rPr>
                <w:bCs/>
                <w:lang w:val="en-US"/>
              </w:rPr>
              <w:t>) to enhance the quality of life, choice and opportunities for people with mental health problems in Greenwich by providing information and advice, person-</w:t>
            </w:r>
            <w:proofErr w:type="spellStart"/>
            <w:r w:rsidRPr="0095780A">
              <w:rPr>
                <w:bCs/>
                <w:lang w:val="en-US"/>
              </w:rPr>
              <w:t>centred</w:t>
            </w:r>
            <w:proofErr w:type="spellEnd"/>
            <w:r w:rsidRPr="0095780A">
              <w:rPr>
                <w:bCs/>
                <w:lang w:val="en-US"/>
              </w:rPr>
              <w:t xml:space="preserve"> recovery-orientated support, community bridge building and skills development courses. </w:t>
            </w:r>
          </w:p>
          <w:p w:rsidR="00204FFB" w:rsidRPr="00F2411C" w:rsidRDefault="00204FFB" w:rsidP="00F2411C">
            <w:pPr>
              <w:rPr>
                <w:bCs/>
              </w:rPr>
            </w:pPr>
          </w:p>
        </w:tc>
      </w:tr>
    </w:tbl>
    <w:p w:rsidR="00594D49" w:rsidRPr="00682551" w:rsidRDefault="00594D49" w:rsidP="00594D49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60FB" w:rsidRPr="00682551" w:rsidTr="00DE60FB">
        <w:tc>
          <w:tcPr>
            <w:tcW w:w="10456" w:type="dxa"/>
          </w:tcPr>
          <w:p w:rsidR="00DE60FB" w:rsidRDefault="00DE60FB" w:rsidP="009C6767">
            <w:r w:rsidRPr="00682551">
              <w:rPr>
                <w:b/>
                <w:bCs/>
              </w:rPr>
              <w:t>Key Responsibilities:</w:t>
            </w:r>
            <w:r w:rsidRPr="00682551">
              <w:t xml:space="preserve"> </w:t>
            </w:r>
          </w:p>
          <w:p w:rsidR="0095780A" w:rsidRDefault="0095780A" w:rsidP="009C6767"/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Respond to referrals made into Community Wellbeing Hub as appropriate: whether through individual or group work. Where necessary discuss referrals with the Senior Mental Health Advisor or other members of the team.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Ensure excellent case management, including the setting and managing of expectations. Be able to manage a complex case load of differing client types, including those with clinical diagnoses.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t xml:space="preserve">Provide appropriate information, advice, guidance and signposting to enable people to manage their mental health issues.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</w:pPr>
            <w:r w:rsidRPr="0095780A">
              <w:t>Provide focused, time limited person-centred support to a caseload of people with mental health problems, including supporting people to develop and enact tailored recovery plans.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Work in a collaborative way with Bridge Support staff and clinical staff from </w:t>
            </w:r>
            <w:proofErr w:type="spellStart"/>
            <w:r w:rsidRPr="0095780A">
              <w:rPr>
                <w:lang w:val="en-US"/>
              </w:rPr>
              <w:t>Oxleas</w:t>
            </w:r>
            <w:proofErr w:type="spellEnd"/>
            <w:r w:rsidRPr="0095780A">
              <w:rPr>
                <w:lang w:val="en-US"/>
              </w:rPr>
              <w:t xml:space="preserve"> to undertake holistic assessments of needs and joined-up clinical and non-clinical support that effectively meets client needs.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lastRenderedPageBreak/>
              <w:t>Support people to access local activities in the community that will promote long-term positive wellbeing, through signposting or onward referrals which include other mental health service providers and mainstream community based provision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Support individuals to develop action plans working towards independent wellbeing management, </w:t>
            </w:r>
            <w:proofErr w:type="spellStart"/>
            <w:r w:rsidRPr="0095780A">
              <w:rPr>
                <w:lang w:val="en-US"/>
              </w:rPr>
              <w:t>stabilisation</w:t>
            </w:r>
            <w:proofErr w:type="spellEnd"/>
            <w:r w:rsidRPr="0095780A">
              <w:rPr>
                <w:lang w:val="en-US"/>
              </w:rPr>
              <w:t xml:space="preserve"> and relapse prevention working in an outcome-focused way to ensure that an individual’s quality of life is enhanced by their involvement with the service.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>Be able to identify safeguarding issues, follow safeguarding procedures and act upon recommendations by the Voluntary Sector Service Manager or Safeguarding Lead.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Monitor the personal progress and resilience of clients accessing the service, and evaluate service quality and beneficial outcomes achieved at the end of your scheduled contact.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>Develop an excellent knowledge of local services and opportunities available within the Royal Borough of Greenwich and empower people to access them.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Develop and maintain excellent partnership working relationships with a wide range of statutory and voluntary sector </w:t>
            </w:r>
            <w:proofErr w:type="spellStart"/>
            <w:r w:rsidRPr="0095780A">
              <w:rPr>
                <w:lang w:val="en-US"/>
              </w:rPr>
              <w:t>organisations</w:t>
            </w:r>
            <w:proofErr w:type="spellEnd"/>
            <w:r w:rsidRPr="0095780A">
              <w:rPr>
                <w:lang w:val="en-US"/>
              </w:rPr>
              <w:t xml:space="preserve"> across the Borough, brokering opportunities for clients in line with their goals and interests.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Keep accurate records using the relevant software, including an online </w:t>
            </w:r>
            <w:proofErr w:type="gramStart"/>
            <w:r w:rsidRPr="0095780A">
              <w:rPr>
                <w:lang w:val="en-US"/>
              </w:rPr>
              <w:t>database.</w:t>
            </w:r>
            <w:proofErr w:type="gramEnd"/>
            <w:r w:rsidRPr="0095780A">
              <w:rPr>
                <w:lang w:val="en-US"/>
              </w:rPr>
              <w:t xml:space="preserve">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Participate in supervision through presentation of case studies. Be able to positively reflect on workload, cases and areas for professional development. </w:t>
            </w:r>
          </w:p>
          <w:p w:rsidR="0095780A" w:rsidRPr="0095780A" w:rsidRDefault="0095780A" w:rsidP="0095780A">
            <w:pPr>
              <w:rPr>
                <w:lang w:val="en-US"/>
              </w:rPr>
            </w:pPr>
          </w:p>
          <w:p w:rsidR="0095780A" w:rsidRPr="0095780A" w:rsidRDefault="0095780A" w:rsidP="0095780A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95780A">
              <w:rPr>
                <w:lang w:val="en-US"/>
              </w:rPr>
              <w:t xml:space="preserve">Work in accordance with Making Every Opportunity Count principles to ensure that people’s wellbeing is supported in a holistic way. </w:t>
            </w:r>
          </w:p>
          <w:p w:rsidR="00DE60FB" w:rsidRPr="00682551" w:rsidRDefault="00DE60FB" w:rsidP="0095780A">
            <w:pPr>
              <w:rPr>
                <w:b/>
                <w:bCs/>
              </w:rPr>
            </w:pPr>
          </w:p>
        </w:tc>
      </w:tr>
    </w:tbl>
    <w:p w:rsidR="0095780A" w:rsidRDefault="0095780A" w:rsidP="00504A26">
      <w:pPr>
        <w:jc w:val="center"/>
        <w:rPr>
          <w:b/>
          <w:bCs/>
        </w:rPr>
      </w:pPr>
    </w:p>
    <w:p w:rsidR="0095780A" w:rsidRDefault="0095780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E29B8" w:rsidRPr="00682551" w:rsidRDefault="00DE29B8" w:rsidP="00504A26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7C75" w:rsidRPr="00682551" w:rsidTr="00DC4E7C">
        <w:tc>
          <w:tcPr>
            <w:tcW w:w="10456" w:type="dxa"/>
          </w:tcPr>
          <w:p w:rsidR="00F2411C" w:rsidRPr="00AA6957" w:rsidRDefault="00F2411C" w:rsidP="00F2411C">
            <w:pPr>
              <w:spacing w:after="100"/>
              <w:jc w:val="both"/>
              <w:rPr>
                <w:rFonts w:ascii="Tahoma" w:hAnsi="Tahoma" w:cs="Tahoma"/>
              </w:rPr>
            </w:pPr>
          </w:p>
          <w:p w:rsidR="00F2411C" w:rsidRPr="00F2411C" w:rsidRDefault="00F2411C" w:rsidP="00F2411C">
            <w:pPr>
              <w:tabs>
                <w:tab w:val="left" w:pos="426"/>
              </w:tabs>
              <w:rPr>
                <w:b/>
              </w:rPr>
            </w:pPr>
            <w:r w:rsidRPr="00F2411C">
              <w:rPr>
                <w:b/>
              </w:rPr>
              <w:t>Training and Development</w:t>
            </w:r>
          </w:p>
          <w:p w:rsidR="00F2411C" w:rsidRPr="00AA6957" w:rsidRDefault="00F2411C" w:rsidP="00F2411C">
            <w:pPr>
              <w:tabs>
                <w:tab w:val="left" w:pos="426"/>
              </w:tabs>
              <w:rPr>
                <w:rFonts w:ascii="Tahoma" w:hAnsi="Tahoma" w:cs="Tahoma"/>
                <w:b/>
              </w:rPr>
            </w:pPr>
          </w:p>
          <w:p w:rsidR="00F2411C" w:rsidRDefault="00F2411C" w:rsidP="00F2411C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AA6957">
              <w:t xml:space="preserve">To undertake mandatory training as required by </w:t>
            </w:r>
            <w:proofErr w:type="spellStart"/>
            <w:r>
              <w:t>Oxleas</w:t>
            </w:r>
            <w:proofErr w:type="spellEnd"/>
            <w:r>
              <w:t xml:space="preserve"> NHS Foundation Trust </w:t>
            </w:r>
            <w:r w:rsidRPr="00AA6957">
              <w:t>policy.</w:t>
            </w:r>
          </w:p>
          <w:p w:rsidR="00F2411C" w:rsidRPr="00AA6957" w:rsidRDefault="00F2411C" w:rsidP="00F2411C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>
              <w:t>To undertake training required by Bromley, Lewisham &amp; Greenwich Mind.</w:t>
            </w:r>
          </w:p>
          <w:p w:rsidR="00F2411C" w:rsidRPr="00AA6957" w:rsidRDefault="00F2411C" w:rsidP="00F2411C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AA6957">
              <w:t>To undertake training in the Individual Placement and Support approach.</w:t>
            </w:r>
          </w:p>
          <w:p w:rsidR="00A67C75" w:rsidRPr="00682551" w:rsidRDefault="00A67C75" w:rsidP="00DC4E7C">
            <w:pPr>
              <w:jc w:val="center"/>
              <w:rPr>
                <w:b/>
                <w:bCs/>
              </w:rPr>
            </w:pPr>
          </w:p>
        </w:tc>
      </w:tr>
    </w:tbl>
    <w:p w:rsidR="00DE29B8" w:rsidRPr="00682551" w:rsidRDefault="00DE29B8" w:rsidP="00A67C75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411C" w:rsidRPr="00682551" w:rsidTr="00587AF5">
        <w:tc>
          <w:tcPr>
            <w:tcW w:w="10456" w:type="dxa"/>
          </w:tcPr>
          <w:p w:rsidR="00F2411C" w:rsidRPr="00682551" w:rsidRDefault="00F2411C" w:rsidP="00587AF5">
            <w:pPr>
              <w:spacing w:before="120" w:after="200" w:line="276" w:lineRule="auto"/>
              <w:rPr>
                <w:b/>
              </w:rPr>
            </w:pPr>
            <w:r w:rsidRPr="00682551">
              <w:rPr>
                <w:b/>
              </w:rPr>
              <w:t>General Responsibilities</w:t>
            </w:r>
            <w:r>
              <w:rPr>
                <w:b/>
              </w:rPr>
              <w:t>: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 xml:space="preserve">Work in line with BLG Mind’s </w:t>
            </w:r>
            <w:hyperlink r:id="rId8" w:history="1">
              <w:r w:rsidRPr="00682551">
                <w:rPr>
                  <w:rStyle w:val="Hyperlink"/>
                </w:rPr>
                <w:t>Purpose, Vision, Values and Aims</w:t>
              </w:r>
            </w:hyperlink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Positively represent BLG Mind, both internally and externally, and promote our work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 xml:space="preserve">Comply with BLG Mind’s policies and quality frameworks 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Promote understanding, awareness and positive attitudes towards mental health and dementia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Promote equity, diversity and inclusion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Attend and actively contribute to individual supervision and training sessions, team meetings and organisational events</w:t>
            </w:r>
          </w:p>
          <w:p w:rsidR="00F2411C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Perform other duties appropriate to the role</w:t>
            </w:r>
          </w:p>
          <w:p w:rsidR="00F2411C" w:rsidRPr="00682551" w:rsidRDefault="00F2411C" w:rsidP="00F2411C">
            <w:pPr>
              <w:numPr>
                <w:ilvl w:val="0"/>
                <w:numId w:val="14"/>
              </w:numPr>
              <w:spacing w:before="120" w:after="200" w:line="276" w:lineRule="auto"/>
            </w:pPr>
            <w:r w:rsidRPr="00682551">
              <w:t>Support, encourage and engage active service user and carer participation wherever possible</w:t>
            </w:r>
          </w:p>
          <w:p w:rsidR="00F2411C" w:rsidRPr="00682551" w:rsidRDefault="00F2411C" w:rsidP="00587AF5">
            <w:pPr>
              <w:jc w:val="center"/>
              <w:rPr>
                <w:b/>
                <w:bCs/>
              </w:rPr>
            </w:pPr>
          </w:p>
        </w:tc>
      </w:tr>
    </w:tbl>
    <w:p w:rsidR="00F2696C" w:rsidRPr="00682551" w:rsidRDefault="00F2696C" w:rsidP="00DE60FB"/>
    <w:sectPr w:rsidR="00F2696C" w:rsidRPr="00682551" w:rsidSect="009578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F7" w:rsidRDefault="002729F7" w:rsidP="002729F7">
      <w:r>
        <w:separator/>
      </w:r>
    </w:p>
  </w:endnote>
  <w:endnote w:type="continuationSeparator" w:id="0">
    <w:p w:rsidR="002729F7" w:rsidRDefault="002729F7" w:rsidP="0027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F7" w:rsidRPr="00F2696C" w:rsidRDefault="009A1559" w:rsidP="00F2696C">
    <w:pPr>
      <w:pStyle w:val="Footer"/>
      <w:rPr>
        <w:b/>
        <w:bCs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yy" </w:instrText>
    </w:r>
    <w:r>
      <w:rPr>
        <w:sz w:val="18"/>
        <w:szCs w:val="18"/>
      </w:rPr>
      <w:fldChar w:fldCharType="separate"/>
    </w:r>
    <w:r w:rsidR="007A5583">
      <w:rPr>
        <w:noProof/>
        <w:sz w:val="18"/>
        <w:szCs w:val="18"/>
      </w:rPr>
      <w:t>September 22</w:t>
    </w:r>
    <w:r>
      <w:rPr>
        <w:sz w:val="18"/>
        <w:szCs w:val="18"/>
      </w:rPr>
      <w:fldChar w:fldCharType="end"/>
    </w:r>
    <w:r w:rsidR="00F2696C" w:rsidRPr="00F2696C">
      <w:rPr>
        <w:sz w:val="18"/>
        <w:szCs w:val="18"/>
      </w:rPr>
      <w:ptab w:relativeTo="margin" w:alignment="center" w:leader="none"/>
    </w:r>
    <w:r w:rsidR="00F2696C" w:rsidRPr="00F2696C">
      <w:rPr>
        <w:sz w:val="18"/>
        <w:szCs w:val="18"/>
      </w:rPr>
      <w:ptab w:relativeTo="margin" w:alignment="right" w:leader="none"/>
    </w:r>
    <w:r w:rsidR="00702352" w:rsidRPr="00702352">
      <w:rPr>
        <w:sz w:val="18"/>
        <w:szCs w:val="18"/>
      </w:rPr>
      <w:fldChar w:fldCharType="begin"/>
    </w:r>
    <w:r w:rsidR="00702352" w:rsidRPr="00702352">
      <w:rPr>
        <w:sz w:val="18"/>
        <w:szCs w:val="18"/>
      </w:rPr>
      <w:instrText xml:space="preserve"> PAGE   \* MERGEFORMAT </w:instrText>
    </w:r>
    <w:r w:rsidR="00702352" w:rsidRPr="00702352">
      <w:rPr>
        <w:sz w:val="18"/>
        <w:szCs w:val="18"/>
      </w:rPr>
      <w:fldChar w:fldCharType="separate"/>
    </w:r>
    <w:r w:rsidR="007A5583">
      <w:rPr>
        <w:noProof/>
        <w:sz w:val="18"/>
        <w:szCs w:val="18"/>
      </w:rPr>
      <w:t>3</w:t>
    </w:r>
    <w:r w:rsidR="00702352" w:rsidRPr="0070235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6C" w:rsidRPr="00F2696C" w:rsidRDefault="00F2696C">
    <w:pPr>
      <w:pStyle w:val="Footer"/>
      <w:rPr>
        <w:color w:val="002060"/>
        <w:sz w:val="20"/>
      </w:rPr>
    </w:pPr>
    <w:r w:rsidRPr="00F2696C">
      <w:rPr>
        <w:color w:val="002060"/>
        <w:sz w:val="20"/>
      </w:rPr>
      <w:fldChar w:fldCharType="begin"/>
    </w:r>
    <w:r w:rsidRPr="00F2696C">
      <w:rPr>
        <w:color w:val="002060"/>
        <w:sz w:val="20"/>
      </w:rPr>
      <w:instrText xml:space="preserve"> DATE \@ "MMMM yy" </w:instrText>
    </w:r>
    <w:r w:rsidRPr="00F2696C">
      <w:rPr>
        <w:color w:val="002060"/>
        <w:sz w:val="20"/>
      </w:rPr>
      <w:fldChar w:fldCharType="separate"/>
    </w:r>
    <w:r w:rsidR="007A5583">
      <w:rPr>
        <w:noProof/>
        <w:color w:val="002060"/>
        <w:sz w:val="20"/>
      </w:rPr>
      <w:t>September 22</w:t>
    </w:r>
    <w:r w:rsidRPr="00F2696C">
      <w:rPr>
        <w:color w:val="002060"/>
        <w:sz w:val="20"/>
      </w:rPr>
      <w:fldChar w:fldCharType="end"/>
    </w:r>
    <w:r w:rsidRPr="00F2696C">
      <w:rPr>
        <w:color w:val="002060"/>
        <w:sz w:val="20"/>
      </w:rPr>
      <w:ptab w:relativeTo="margin" w:alignment="center" w:leader="none"/>
    </w:r>
    <w:r w:rsidRPr="00F2696C">
      <w:rPr>
        <w:color w:val="002060"/>
        <w:sz w:val="20"/>
      </w:rPr>
      <w:ptab w:relativeTo="margin" w:alignment="right" w:leader="none"/>
    </w:r>
    <w:r w:rsidRPr="00702352">
      <w:rPr>
        <w:color w:val="002060"/>
        <w:sz w:val="18"/>
        <w:szCs w:val="18"/>
      </w:rPr>
      <w:fldChar w:fldCharType="begin"/>
    </w:r>
    <w:r w:rsidRPr="00702352">
      <w:rPr>
        <w:color w:val="002060"/>
        <w:sz w:val="18"/>
        <w:szCs w:val="18"/>
      </w:rPr>
      <w:instrText xml:space="preserve"> PAGE   \* MERGEFORMAT </w:instrText>
    </w:r>
    <w:r w:rsidRPr="00702352">
      <w:rPr>
        <w:color w:val="002060"/>
        <w:sz w:val="18"/>
        <w:szCs w:val="18"/>
      </w:rPr>
      <w:fldChar w:fldCharType="separate"/>
    </w:r>
    <w:r w:rsidR="007A5583">
      <w:rPr>
        <w:noProof/>
        <w:color w:val="002060"/>
        <w:sz w:val="18"/>
        <w:szCs w:val="18"/>
      </w:rPr>
      <w:t>1</w:t>
    </w:r>
    <w:r w:rsidRPr="00702352">
      <w:rPr>
        <w:noProof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F7" w:rsidRDefault="002729F7" w:rsidP="002729F7">
      <w:r>
        <w:separator/>
      </w:r>
    </w:p>
  </w:footnote>
  <w:footnote w:type="continuationSeparator" w:id="0">
    <w:p w:rsidR="002729F7" w:rsidRDefault="002729F7" w:rsidP="0027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F7" w:rsidRDefault="00F269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-106680</wp:posOffset>
              </wp:positionH>
              <wp:positionV relativeFrom="paragraph">
                <wp:posOffset>-457200</wp:posOffset>
              </wp:positionV>
              <wp:extent cx="7802880" cy="571500"/>
              <wp:effectExtent l="0" t="0" r="26670" b="1905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2880" cy="57150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635">
                        <a:solidFill>
                          <a:srgbClr val="FF007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9F7" w:rsidRDefault="002729F7" w:rsidP="002729F7">
                          <w:pP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2729F7" w:rsidRDefault="002729F7" w:rsidP="002729F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.4pt;margin-top:-36pt;width:614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" fillcolor="#ff0071" strokecolor="#ff0071" strokeweight=".05pt">
              <v:textbox>
                <w:txbxContent>
                  <w:p w:rsidR="002729F7" w:rsidRDefault="002729F7" w:rsidP="002729F7">
                    <w:pPr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</w:p>
                  <w:p w:rsidR="002729F7" w:rsidRDefault="002729F7" w:rsidP="002729F7">
                    <w:pPr>
                      <w:jc w:val="cente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="008E49E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-267970</wp:posOffset>
          </wp:positionV>
          <wp:extent cx="1120140" cy="26797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6C" w:rsidRDefault="00F73F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page">
                <wp:posOffset>-228600</wp:posOffset>
              </wp:positionH>
              <wp:positionV relativeFrom="paragraph">
                <wp:posOffset>-457200</wp:posOffset>
              </wp:positionV>
              <wp:extent cx="7886700" cy="1017270"/>
              <wp:effectExtent l="0" t="0" r="19050" b="1143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1727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0">
                        <a:solidFill>
                          <a:srgbClr val="FF007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098B4" id="Rectangle 9" o:spid="_x0000_s1026" style="position:absolute;margin-left:-18pt;margin-top:-36pt;width:621pt;height:80.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" fillcolor="#ff0071" strokecolor="#ff0071" strokeweight="0">
              <w10:wrap type="square" anchorx="page"/>
            </v:rect>
          </w:pict>
        </mc:Fallback>
      </mc:AlternateContent>
    </w:r>
    <w:r w:rsidR="00504A26" w:rsidRPr="00F269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A29CC2" wp14:editId="1F64AC06">
              <wp:simplePos x="0" y="0"/>
              <wp:positionH relativeFrom="column">
                <wp:posOffset>-198120</wp:posOffset>
              </wp:positionH>
              <wp:positionV relativeFrom="paragraph">
                <wp:posOffset>-403860</wp:posOffset>
              </wp:positionV>
              <wp:extent cx="2567940" cy="403860"/>
              <wp:effectExtent l="0" t="0" r="381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7940" cy="403860"/>
                      </a:xfrm>
                      <a:prstGeom prst="rect">
                        <a:avLst/>
                      </a:prstGeom>
                      <a:solidFill>
                        <a:srgbClr val="FF007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2696C" w:rsidRPr="00057EC1" w:rsidRDefault="00F2696C" w:rsidP="00504A26">
                          <w:pPr>
                            <w:jc w:val="both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65B5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Job</w:t>
                          </w:r>
                          <w:r w:rsidR="00504A2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 xml:space="preserve"> Description </w:t>
                          </w:r>
                        </w:p>
                        <w:p w:rsidR="00F2696C" w:rsidRDefault="00F2696C" w:rsidP="00F269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29C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.6pt;margin-top:-31.8pt;width:202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" fillcolor="#ff0071" stroked="f" strokeweight=".5pt">
              <v:textbox>
                <w:txbxContent>
                  <w:p w:rsidR="00F2696C" w:rsidRPr="00057EC1" w:rsidRDefault="00F2696C" w:rsidP="00504A26">
                    <w:pPr>
                      <w:jc w:val="both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  </w:t>
                    </w:r>
                    <w:r w:rsidR="00D65B5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Job</w:t>
                    </w:r>
                    <w:r w:rsidR="00504A2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 xml:space="preserve"> Description </w:t>
                    </w:r>
                  </w:p>
                  <w:p w:rsidR="00F2696C" w:rsidRDefault="00F2696C" w:rsidP="00F2696C"/>
                </w:txbxContent>
              </v:textbox>
            </v:shape>
          </w:pict>
        </mc:Fallback>
      </mc:AlternateContent>
    </w:r>
    <w:r w:rsidR="00F2696C" w:rsidRPr="00F2696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409BAB7" wp14:editId="444CE283">
          <wp:simplePos x="0" y="0"/>
          <wp:positionH relativeFrom="column">
            <wp:posOffset>45720</wp:posOffset>
          </wp:positionH>
          <wp:positionV relativeFrom="paragraph">
            <wp:posOffset>-76200</wp:posOffset>
          </wp:positionV>
          <wp:extent cx="2028825" cy="4857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FCB"/>
    <w:multiLevelType w:val="hybridMultilevel"/>
    <w:tmpl w:val="2C62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0B13"/>
    <w:multiLevelType w:val="hybridMultilevel"/>
    <w:tmpl w:val="2C80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5534"/>
    <w:multiLevelType w:val="hybridMultilevel"/>
    <w:tmpl w:val="12886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4D3"/>
    <w:multiLevelType w:val="hybridMultilevel"/>
    <w:tmpl w:val="B12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555B6"/>
    <w:multiLevelType w:val="hybridMultilevel"/>
    <w:tmpl w:val="D646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489"/>
    <w:multiLevelType w:val="hybridMultilevel"/>
    <w:tmpl w:val="3D56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56B5"/>
    <w:multiLevelType w:val="hybridMultilevel"/>
    <w:tmpl w:val="E1EA7018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F9B10FF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49BD"/>
    <w:multiLevelType w:val="hybridMultilevel"/>
    <w:tmpl w:val="12886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3AB9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40FD"/>
    <w:multiLevelType w:val="hybridMultilevel"/>
    <w:tmpl w:val="F1F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03D3"/>
    <w:multiLevelType w:val="hybridMultilevel"/>
    <w:tmpl w:val="C5749536"/>
    <w:lvl w:ilvl="0" w:tplc="28C8F0F0">
      <w:numFmt w:val="bullet"/>
      <w:lvlText w:val="•"/>
      <w:lvlJc w:val="left"/>
      <w:pPr>
        <w:ind w:left="1080" w:hanging="720"/>
      </w:pPr>
      <w:rPr>
        <w:rFonts w:ascii="Mind Meridian" w:eastAsia="Times New Roman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D58AC"/>
    <w:multiLevelType w:val="hybridMultilevel"/>
    <w:tmpl w:val="2B747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6470F"/>
    <w:multiLevelType w:val="hybridMultilevel"/>
    <w:tmpl w:val="B4301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3F4460"/>
    <w:multiLevelType w:val="hybridMultilevel"/>
    <w:tmpl w:val="A51244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E42E6C"/>
    <w:multiLevelType w:val="hybridMultilevel"/>
    <w:tmpl w:val="557A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F74FE"/>
    <w:multiLevelType w:val="hybridMultilevel"/>
    <w:tmpl w:val="2D7C535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1793"/>
    <w:multiLevelType w:val="hybridMultilevel"/>
    <w:tmpl w:val="3D8A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72FE1"/>
    <w:multiLevelType w:val="hybridMultilevel"/>
    <w:tmpl w:val="BB1CA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A3C15"/>
    <w:multiLevelType w:val="hybridMultilevel"/>
    <w:tmpl w:val="78943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10454"/>
    <w:multiLevelType w:val="hybridMultilevel"/>
    <w:tmpl w:val="78F6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B295E"/>
    <w:multiLevelType w:val="hybridMultilevel"/>
    <w:tmpl w:val="98BCF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3703D"/>
    <w:multiLevelType w:val="hybridMultilevel"/>
    <w:tmpl w:val="17300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2071B5"/>
    <w:multiLevelType w:val="hybridMultilevel"/>
    <w:tmpl w:val="E6EC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3"/>
  </w:num>
  <w:num w:numId="5">
    <w:abstractNumId w:val="17"/>
  </w:num>
  <w:num w:numId="6">
    <w:abstractNumId w:val="15"/>
  </w:num>
  <w:num w:numId="7">
    <w:abstractNumId w:val="22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2"/>
  </w:num>
  <w:num w:numId="18">
    <w:abstractNumId w:val="14"/>
  </w:num>
  <w:num w:numId="19">
    <w:abstractNumId w:val="10"/>
  </w:num>
  <w:num w:numId="20">
    <w:abstractNumId w:val="0"/>
  </w:num>
  <w:num w:numId="21">
    <w:abstractNumId w:val="12"/>
  </w:num>
  <w:num w:numId="22">
    <w:abstractNumId w:val="13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7"/>
    <w:rsid w:val="000A089D"/>
    <w:rsid w:val="001A5E8B"/>
    <w:rsid w:val="00204FFB"/>
    <w:rsid w:val="002729F7"/>
    <w:rsid w:val="002A792D"/>
    <w:rsid w:val="00395745"/>
    <w:rsid w:val="00410D8C"/>
    <w:rsid w:val="00504A26"/>
    <w:rsid w:val="00594D49"/>
    <w:rsid w:val="005C4683"/>
    <w:rsid w:val="00682551"/>
    <w:rsid w:val="006F0979"/>
    <w:rsid w:val="00702352"/>
    <w:rsid w:val="00706B5D"/>
    <w:rsid w:val="007A5583"/>
    <w:rsid w:val="007B3BDC"/>
    <w:rsid w:val="00812D40"/>
    <w:rsid w:val="008873F2"/>
    <w:rsid w:val="008948D0"/>
    <w:rsid w:val="008E49EE"/>
    <w:rsid w:val="008F110C"/>
    <w:rsid w:val="0095780A"/>
    <w:rsid w:val="009A1559"/>
    <w:rsid w:val="009C6767"/>
    <w:rsid w:val="00A67C75"/>
    <w:rsid w:val="00AA43B8"/>
    <w:rsid w:val="00B31F38"/>
    <w:rsid w:val="00C27A77"/>
    <w:rsid w:val="00C32AF7"/>
    <w:rsid w:val="00D65B58"/>
    <w:rsid w:val="00D720A3"/>
    <w:rsid w:val="00DB07CF"/>
    <w:rsid w:val="00DE29B8"/>
    <w:rsid w:val="00DE60FB"/>
    <w:rsid w:val="00F2411C"/>
    <w:rsid w:val="00F2696C"/>
    <w:rsid w:val="00F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62A2DB0"/>
  <w15:chartTrackingRefBased/>
  <w15:docId w15:val="{28A7F442-5B6A-4390-A7AE-C9C1D98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d Meridian" w:eastAsiaTheme="minorHAnsi" w:hAnsi="Mind Meridian" w:cs="Mind Meridian"/>
        <w:color w:val="1300C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1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9F7"/>
  </w:style>
  <w:style w:type="paragraph" w:styleId="Footer">
    <w:name w:val="footer"/>
    <w:basedOn w:val="Normal"/>
    <w:link w:val="FooterChar"/>
    <w:uiPriority w:val="99"/>
    <w:unhideWhenUsed/>
    <w:rsid w:val="0027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F7"/>
  </w:style>
  <w:style w:type="paragraph" w:styleId="ListParagraph">
    <w:name w:val="List Paragraph"/>
    <w:basedOn w:val="Normal"/>
    <w:uiPriority w:val="34"/>
    <w:qFormat/>
    <w:rsid w:val="008873F2"/>
    <w:pPr>
      <w:ind w:left="720"/>
      <w:contextualSpacing/>
    </w:pPr>
  </w:style>
  <w:style w:type="table" w:styleId="TableGrid">
    <w:name w:val="Table Grid"/>
    <w:basedOn w:val="TableNormal"/>
    <w:uiPriority w:val="39"/>
    <w:rsid w:val="00D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FFB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4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tigerbay/docs/blg_mind_strategy_2021-24_digital?fr=sM2UzYjc1MDUy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D2C6-9C2D-4EA5-BDD7-CF0A242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Ṣadé Fadero</dc:creator>
  <cp:keywords/>
  <dc:description/>
  <cp:lastModifiedBy>Jessie Coote</cp:lastModifiedBy>
  <cp:revision>3</cp:revision>
  <dcterms:created xsi:type="dcterms:W3CDTF">2022-09-21T14:19:00Z</dcterms:created>
  <dcterms:modified xsi:type="dcterms:W3CDTF">2022-09-21T14:20:00Z</dcterms:modified>
</cp:coreProperties>
</file>